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EF" w:rsidRPr="00BB18A4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BB18A4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составленн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произвольной форме, 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="00B4650F"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 w:rsidR="00B4650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, с обязательным включением в не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>ё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заполненных таблиц из приложени</w:t>
      </w:r>
      <w:r w:rsidR="008901DE">
        <w:rPr>
          <w:rFonts w:ascii="Times New Roman" w:hAnsi="Times New Roman"/>
          <w:bCs/>
          <w:color w:val="000000" w:themeColor="text1"/>
          <w:sz w:val="24"/>
          <w:szCs w:val="24"/>
        </w:rPr>
        <w:t>я</w:t>
      </w:r>
      <w:r w:rsidR="00CB40C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F2CDE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F2118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подписанн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риложение № </w:t>
      </w:r>
      <w:r w:rsidR="0074519C" w:rsidRPr="007451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9A65EF" w:rsidRPr="009A65EF" w:rsidRDefault="0023497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видетельство о постановке на учё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т в налоговом органе (ИНН);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нтрагента – положение о филиале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/представительстве,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:rsidR="00C43DCC" w:rsidRDefault="0023497F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 Правоустанавливающие документы индивидуального предпринимателя (заверенные копии):</w:t>
      </w:r>
    </w:p>
    <w:p w:rsidR="00C43DCC" w:rsidRP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C43DCC"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становке физического лица на учё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т в налоговом органе по месту жительства на территории РФ (ИНН);</w:t>
      </w:r>
    </w:p>
    <w:p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6315" w:rsidRPr="009A65EF" w:rsidRDefault="0023497F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36315" w:rsidRPr="00B53534" w:rsidRDefault="0023497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 xml:space="preserve"> 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CB40C5">
        <w:rPr>
          <w:rFonts w:ascii="Times New Roman" w:hAnsi="Times New Roman"/>
          <w:color w:val="000000" w:themeColor="text1"/>
          <w:sz w:val="24"/>
          <w:szCs w:val="24"/>
        </w:rPr>
        <w:t>2 «Отчё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заверенных копий следующих документов: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1408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2A2E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E82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68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1726E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  <w:r w:rsidR="002A2E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82B1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2020</w:t>
      </w:r>
      <w:r w:rsidR="00721B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3B64" w:rsidRPr="00B53534" w:rsidRDefault="0023497F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тные кварталы текущего года, по налогу на прибыль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тный квартал текущего года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:rsidR="002E3B64" w:rsidRPr="00B53534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</w:t>
      </w:r>
      <w:r w:rsidR="002E3B64" w:rsidRPr="00B53534">
        <w:rPr>
          <w:rFonts w:ascii="Calibri" w:eastAsia="Calibri" w:hAnsi="Calibri" w:cs="Times New Roman"/>
        </w:rPr>
        <w:t xml:space="preserve">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:rsidR="002E3B64" w:rsidRPr="00C56C4C" w:rsidRDefault="0023497F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(налогу, уплачиваем</w:t>
      </w:r>
      <w:r w:rsidR="00CB40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ому в связи с применением упрощё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нной системы налогообложения) (титульный лист с подтверждением представления в налоговые органы), а также выписок из</w:t>
      </w:r>
      <w:r w:rsid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18" w:rsidRDefault="003E7E18" w:rsidP="007B5F21">
      <w:pPr>
        <w:spacing w:after="0" w:line="240" w:lineRule="auto"/>
      </w:pPr>
      <w:r>
        <w:separator/>
      </w:r>
    </w:p>
  </w:endnote>
  <w:end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endnote>
  <w:endnote w:id="1"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0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>Не требуется п</w:t>
      </w:r>
      <w:r>
        <w:rPr>
          <w:rFonts w:ascii="Times New Roman" w:hAnsi="Times New Roman"/>
        </w:rPr>
        <w:t xml:space="preserve">редоставление документов в соответствии с пунктами </w:t>
      </w:r>
      <w:r w:rsidR="00721BD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B5353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721BD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113617">
        <w:rPr>
          <w:rFonts w:ascii="Times New Roman" w:hAnsi="Times New Roman"/>
        </w:rPr>
        <w:t xml:space="preserve">следующими </w:t>
      </w:r>
      <w:r>
        <w:rPr>
          <w:rFonts w:ascii="Times New Roman" w:hAnsi="Times New Roman"/>
        </w:rPr>
        <w:t>претендентами:</w:t>
      </w:r>
    </w:p>
    <w:p w:rsidR="002E3B64" w:rsidRDefault="00B53534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:rsidR="002E3B64" w:rsidRDefault="00B5353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2E3B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3B64"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</w:t>
      </w:r>
      <w:r>
        <w:rPr>
          <w:rFonts w:ascii="Times New Roman" w:hAnsi="Times New Roman"/>
        </w:rPr>
        <w:t>)</w:t>
      </w:r>
      <w:r w:rsidR="002E3B64">
        <w:rPr>
          <w:rFonts w:ascii="Times New Roman" w:hAnsi="Times New Roman"/>
        </w:rPr>
        <w:t>.</w:t>
      </w:r>
    </w:p>
    <w:p w:rsidR="002E3B64" w:rsidRDefault="002E3B64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18" w:rsidRDefault="003E7E18" w:rsidP="007B5F21">
      <w:pPr>
        <w:spacing w:after="0" w:line="240" w:lineRule="auto"/>
      </w:pPr>
      <w:r>
        <w:separator/>
      </w:r>
    </w:p>
  </w:footnote>
  <w:footnote w:type="continuationSeparator" w:id="0">
    <w:p w:rsidR="003E7E18" w:rsidRDefault="003E7E18" w:rsidP="007B5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65EF"/>
    <w:rsid w:val="00042695"/>
    <w:rsid w:val="000A24AD"/>
    <w:rsid w:val="00113617"/>
    <w:rsid w:val="001408D8"/>
    <w:rsid w:val="001726E4"/>
    <w:rsid w:val="001A26C5"/>
    <w:rsid w:val="001E0502"/>
    <w:rsid w:val="001E20A6"/>
    <w:rsid w:val="0023497F"/>
    <w:rsid w:val="00255656"/>
    <w:rsid w:val="00262095"/>
    <w:rsid w:val="002A2EBB"/>
    <w:rsid w:val="002E3B64"/>
    <w:rsid w:val="002F11F0"/>
    <w:rsid w:val="00322928"/>
    <w:rsid w:val="00344427"/>
    <w:rsid w:val="00394F03"/>
    <w:rsid w:val="003C7273"/>
    <w:rsid w:val="003E0381"/>
    <w:rsid w:val="003E7E18"/>
    <w:rsid w:val="00406825"/>
    <w:rsid w:val="00413AF1"/>
    <w:rsid w:val="004B101E"/>
    <w:rsid w:val="004C12A0"/>
    <w:rsid w:val="00513BA6"/>
    <w:rsid w:val="00566D55"/>
    <w:rsid w:val="00580B39"/>
    <w:rsid w:val="005946F2"/>
    <w:rsid w:val="005A55CD"/>
    <w:rsid w:val="006A1E21"/>
    <w:rsid w:val="00713A59"/>
    <w:rsid w:val="007209D4"/>
    <w:rsid w:val="00721BDE"/>
    <w:rsid w:val="0074519C"/>
    <w:rsid w:val="007B5F21"/>
    <w:rsid w:val="007C2974"/>
    <w:rsid w:val="007D5201"/>
    <w:rsid w:val="008150D3"/>
    <w:rsid w:val="008415E5"/>
    <w:rsid w:val="008901DE"/>
    <w:rsid w:val="008A4201"/>
    <w:rsid w:val="008A496A"/>
    <w:rsid w:val="008B7B6A"/>
    <w:rsid w:val="008D0607"/>
    <w:rsid w:val="009069DE"/>
    <w:rsid w:val="00924272"/>
    <w:rsid w:val="00944CD4"/>
    <w:rsid w:val="0097766D"/>
    <w:rsid w:val="0098524F"/>
    <w:rsid w:val="00990340"/>
    <w:rsid w:val="00997B23"/>
    <w:rsid w:val="009A65EF"/>
    <w:rsid w:val="009E1AD7"/>
    <w:rsid w:val="009F6F1A"/>
    <w:rsid w:val="00A80C19"/>
    <w:rsid w:val="00B36315"/>
    <w:rsid w:val="00B4650F"/>
    <w:rsid w:val="00B53534"/>
    <w:rsid w:val="00BB18A4"/>
    <w:rsid w:val="00C43DCC"/>
    <w:rsid w:val="00C56C4C"/>
    <w:rsid w:val="00CB40C5"/>
    <w:rsid w:val="00D01145"/>
    <w:rsid w:val="00D0329D"/>
    <w:rsid w:val="00D206AE"/>
    <w:rsid w:val="00E82B1F"/>
    <w:rsid w:val="00EF2CDE"/>
    <w:rsid w:val="00EF7DCC"/>
    <w:rsid w:val="00F21189"/>
    <w:rsid w:val="00F778F9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6FA9-E0D7-430D-B2D4-4DE3386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8CBE-03D0-4508-BCC0-B3539AEE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Соколова Екатерина Алексеевна</cp:lastModifiedBy>
  <cp:revision>20</cp:revision>
  <dcterms:created xsi:type="dcterms:W3CDTF">2018-02-28T09:31:00Z</dcterms:created>
  <dcterms:modified xsi:type="dcterms:W3CDTF">2021-01-13T05:50:00Z</dcterms:modified>
</cp:coreProperties>
</file>